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ackground w:color="ffffff">
    <v:background o:bwmode="white" o:targetscreensize="1024,768">
      <v:fill alignshape="true" r:id="rId2" recolor="false" origin="," aspect="ignore" position="," type="frame"/>
    </v:background>
  </w:background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44"/>
        <w:gridCol w:w="6886"/>
      </w:tblGrid>
      <w:tr>
        <w:trPr>
          <w:trHeight w:val="12720" w:hRule="atLeast"/>
        </w:trPr>
        <w:tc>
          <w:tcPr>
            <w:tcW w:w="3225" w:type="dxa"/>
            <w:tcBorders/>
            <w:shd w:val="clear" w:color="auto" w:fill="auto"/>
            <w:tcFitText w:val="false"/>
          </w:tcPr>
          <w:p>
            <w:pPr>
              <w:pStyle w:val="style4114"/>
              <w:spacing w:before="737" w:after="283"/>
              <w:rPr/>
            </w:pPr>
            <w:r>
              <w:rPr>
                <w:rFonts w:ascii="Arial" w:cs="Arial" w:hAnsi="Arial"/>
                <w:b/>
                <w:bCs/>
                <w:color w:val="333333"/>
                <w:sz w:val="36"/>
                <w:szCs w:val="36"/>
              </w:rPr>
              <w:t>MILLY OBOT</w:t>
            </w:r>
          </w:p>
          <w:p>
            <w:pPr>
              <w:pStyle w:val="style4114"/>
              <w:spacing w:before="283"/>
              <w:rPr>
                <w:rFonts w:ascii="Arial" w:cs="Arial" w:hAnsi="Arial"/>
                <w:color w:val="333333"/>
                <w:sz w:val="4"/>
                <w:szCs w:val="4"/>
              </w:rPr>
            </w:pPr>
            <w:r>
              <w:rPr>
                <w:rFonts w:ascii="Arial" w:cs="Arial" w:hAnsi="Arial"/>
                <w:b/>
                <w:bCs/>
                <w:color w:val="333333"/>
                <w:sz w:val="26"/>
                <w:szCs w:val="26"/>
              </w:rPr>
              <w:t xml:space="preserve">CONTACT </w:t>
            </w:r>
          </w:p>
          <w:p>
            <w:pPr>
              <w:pStyle w:val="style4115"/>
              <w:spacing w:after="227"/>
              <w:rPr>
                <w:rFonts w:ascii="Arial" w:cs="Arial" w:hAnsi="Arial"/>
                <w:color w:val="333333"/>
                <w:sz w:val="4"/>
                <w:szCs w:val="4"/>
              </w:rPr>
            </w:pPr>
          </w:p>
          <w:p>
            <w:pPr>
              <w:pStyle w:val="style4114"/>
              <w:rPr>
                <w:rFonts w:ascii="Arial" w:cs="Arial" w:hAnsi="Arial"/>
                <w:color w:val="333333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333333"/>
                <w:sz w:val="22"/>
                <w:szCs w:val="22"/>
              </w:rPr>
              <w:t>Address:</w:t>
            </w:r>
          </w:p>
          <w:p>
            <w:pPr>
              <w:pStyle w:val="style4114"/>
              <w:rPr>
                <w:rFonts w:ascii="Arial" w:cs="Arial" w:hAnsi="Arial"/>
                <w:color w:val="333333"/>
                <w:sz w:val="22"/>
                <w:szCs w:val="22"/>
              </w:rPr>
            </w:pPr>
            <w:r>
              <w:rPr>
                <w:rFonts w:ascii="Arial" w:cs="Arial" w:hAnsi="Arial"/>
                <w:color w:val="333333"/>
                <w:sz w:val="22"/>
                <w:szCs w:val="22"/>
              </w:rPr>
              <w:t>16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>Afaha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>Uqua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>Obokidim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 xml:space="preserve"> Road,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>Eket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>,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>Akwa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>Ibom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>.</w:t>
            </w:r>
          </w:p>
          <w:p>
            <w:pPr>
              <w:pStyle w:val="style0"/>
              <w:rPr>
                <w:rFonts w:ascii="Arial" w:cs="Arial" w:hAnsi="Arial"/>
                <w:color w:val="333333"/>
                <w:sz w:val="22"/>
                <w:szCs w:val="22"/>
              </w:rPr>
            </w:pPr>
          </w:p>
          <w:p>
            <w:pPr>
              <w:pStyle w:val="style0"/>
              <w:rPr>
                <w:rFonts w:ascii="Arial" w:cs="Arial" w:hAnsi="Arial"/>
                <w:color w:val="333333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333333"/>
                <w:sz w:val="22"/>
                <w:szCs w:val="22"/>
              </w:rPr>
              <w:t>Phone:</w:t>
            </w:r>
          </w:p>
          <w:p>
            <w:pPr>
              <w:pStyle w:val="style0"/>
              <w:rPr>
                <w:rFonts w:ascii="Arial" w:cs="Arial" w:hAnsi="Arial"/>
                <w:color w:val="333333"/>
                <w:sz w:val="22"/>
                <w:szCs w:val="22"/>
              </w:rPr>
            </w:pPr>
            <w:r>
              <w:rPr>
                <w:rFonts w:ascii="Arial" w:cs="Arial" w:hAnsi="Arial"/>
                <w:color w:val="333333"/>
                <w:sz w:val="22"/>
                <w:szCs w:val="22"/>
              </w:rPr>
              <w:t>+</w:t>
            </w:r>
            <w:r>
              <w:rPr>
                <w:rFonts w:ascii="Arial" w:cs="Arial" w:hAnsi="Arial"/>
                <w:color w:val="333333"/>
                <w:sz w:val="22"/>
                <w:szCs w:val="22"/>
              </w:rPr>
              <w:t>23408093812378</w:t>
            </w:r>
          </w:p>
          <w:p>
            <w:pPr>
              <w:pStyle w:val="style4114"/>
              <w:rPr>
                <w:rFonts w:ascii="Arial" w:cs="Arial" w:hAnsi="Arial"/>
                <w:color w:val="333333"/>
                <w:sz w:val="22"/>
                <w:szCs w:val="22"/>
              </w:rPr>
            </w:pPr>
          </w:p>
          <w:p>
            <w:pPr>
              <w:pStyle w:val="style4114"/>
              <w:rPr/>
            </w:pPr>
            <w:r>
              <w:rPr>
                <w:rFonts w:ascii="Arial" w:cs="Arial" w:hAnsi="Arial"/>
                <w:b/>
                <w:bCs/>
                <w:color w:val="333333"/>
                <w:sz w:val="22"/>
                <w:szCs w:val="22"/>
              </w:rPr>
              <w:t>Email:</w:t>
            </w:r>
          </w:p>
          <w:p>
            <w:pPr>
              <w:pStyle w:val="style0"/>
              <w:rPr>
                <w:rFonts w:ascii="Arial" w:cs="Arial" w:hAnsi="Arial"/>
                <w:color w:val="333333"/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"mailto:millyznew@gmail.com" </w:instrText>
            </w:r>
            <w:r>
              <w:rPr/>
              <w:fldChar w:fldCharType="separate"/>
            </w:r>
            <w:r>
              <w:rPr>
                <w:rStyle w:val="style85"/>
                <w:rFonts w:ascii="Arial" w:cs="Arial" w:hAnsi="Arial"/>
                <w:sz w:val="22"/>
                <w:szCs w:val="22"/>
              </w:rPr>
              <w:t>millyznew@gmail.com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Arial" w:cs="Arial" w:hAnsi="Arial"/>
                <w:color w:val="333333"/>
                <w:sz w:val="22"/>
                <w:szCs w:val="22"/>
              </w:rPr>
            </w:pPr>
          </w:p>
          <w:p>
            <w:pPr>
              <w:pStyle w:val="style0"/>
              <w:rPr>
                <w:rFonts w:ascii="Arial" w:cs="Arial" w:hAnsi="Arial"/>
                <w:color w:val="333333"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  <w:b/>
                <w:bCs/>
                <w:color w:val="333333"/>
                <w:sz w:val="26"/>
                <w:szCs w:val="26"/>
              </w:rPr>
            </w:pPr>
          </w:p>
          <w:p>
            <w:pPr>
              <w:pStyle w:val="style0"/>
              <w:rPr>
                <w:rFonts w:ascii="Arial" w:cs="Arial" w:hAnsi="Arial"/>
                <w:color w:val="333333"/>
                <w:sz w:val="22"/>
                <w:szCs w:val="22"/>
              </w:rPr>
            </w:pPr>
            <w:r>
              <w:rPr>
                <w:rFonts w:ascii="Arial" w:cs="Arial" w:hAnsi="Arial"/>
                <w:b/>
                <w:bCs/>
                <w:color w:val="333333"/>
                <w:sz w:val="26"/>
                <w:szCs w:val="26"/>
              </w:rPr>
              <w:t xml:space="preserve">CORE </w:t>
            </w:r>
            <w:r>
              <w:rPr>
                <w:rFonts w:ascii="Arial" w:cs="Arial" w:hAnsi="Arial"/>
                <w:b/>
                <w:bCs/>
                <w:color w:val="333333"/>
                <w:sz w:val="26"/>
                <w:szCs w:val="26"/>
              </w:rPr>
              <w:t>SKILLS</w:t>
            </w:r>
          </w:p>
          <w:p>
            <w:pPr>
              <w:pStyle w:val="style4115"/>
              <w:rPr>
                <w:rFonts w:ascii="Arial" w:cs="Arial" w:hAnsi="Arial"/>
                <w:color w:val="333333"/>
                <w:sz w:val="22"/>
                <w:szCs w:val="22"/>
              </w:rPr>
            </w:pP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 xml:space="preserve">Client Interface and </w:t>
            </w:r>
            <w:r>
              <w:rPr>
                <w:rFonts w:ascii="Arial" w:cs="Arial" w:hAnsi="Arial"/>
                <w:color w:val="333333"/>
                <w:sz w:val="26"/>
                <w:szCs w:val="26"/>
              </w:rPr>
              <w:t>Management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Costumer Service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Product Price Management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Sales Accounting</w:t>
            </w:r>
            <w:r>
              <w:rPr>
                <w:rFonts w:ascii="Arial" w:cs="Arial" w:hAnsi="Arial"/>
                <w:color w:val="333333"/>
                <w:sz w:val="26"/>
                <w:szCs w:val="26"/>
              </w:rPr>
              <w:t xml:space="preserve"> and Management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Personal Assistance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Document Filling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Presentation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Excellent Communication</w:t>
            </w:r>
          </w:p>
          <w:p>
            <w:pPr>
              <w:pStyle w:val="style66"/>
              <w:rPr>
                <w:rFonts w:ascii="Arial" w:cs="Arial" w:hAnsi="Arial"/>
                <w:color w:val="ff0000"/>
                <w:sz w:val="26"/>
                <w:szCs w:val="26"/>
              </w:rPr>
            </w:pPr>
            <w:r>
              <w:rPr>
                <w:rFonts w:ascii="Arial" w:cs="Arial" w:hAnsi="Arial"/>
                <w:color w:val="ff0000"/>
                <w:sz w:val="26"/>
                <w:szCs w:val="26"/>
              </w:rPr>
              <w:t>Work Adaptation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Multi-tasking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Innovative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Strategic Thinking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6"/>
                <w:szCs w:val="26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Teamwork</w:t>
            </w:r>
          </w:p>
          <w:p>
            <w:pPr>
              <w:pStyle w:val="style66"/>
              <w:rPr>
                <w:rFonts w:ascii="Arial" w:cs="Arial" w:hAnsi="Arial"/>
                <w:color w:val="ff0000"/>
                <w:sz w:val="26"/>
                <w:szCs w:val="26"/>
              </w:rPr>
            </w:pPr>
            <w:r>
              <w:rPr>
                <w:rFonts w:ascii="Arial" w:cs="Arial" w:hAnsi="Arial"/>
                <w:color w:val="ff0000"/>
                <w:sz w:val="26"/>
                <w:szCs w:val="26"/>
              </w:rPr>
              <w:t>Customer service Orientation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2"/>
                <w:szCs w:val="22"/>
              </w:rPr>
            </w:pPr>
            <w:r>
              <w:rPr>
                <w:rFonts w:ascii="Arial" w:cs="Arial" w:hAnsi="Arial"/>
                <w:color w:val="333333"/>
                <w:sz w:val="26"/>
                <w:szCs w:val="26"/>
              </w:rPr>
              <w:t>Time management</w:t>
            </w:r>
          </w:p>
          <w:p>
            <w:pPr>
              <w:pStyle w:val="style66"/>
              <w:rPr>
                <w:rFonts w:ascii="Arial" w:cs="Arial" w:hAnsi="Arial"/>
                <w:color w:val="333333"/>
                <w:sz w:val="22"/>
                <w:szCs w:val="22"/>
              </w:rPr>
            </w:pPr>
          </w:p>
        </w:tc>
        <w:tc>
          <w:tcPr>
            <w:tcW w:w="644" w:type="dxa"/>
            <w:tcBorders/>
            <w:shd w:val="clear" w:color="auto" w:fill="auto"/>
            <w:tcFitText w:val="false"/>
          </w:tcPr>
          <w:p>
            <w:pPr>
              <w:pStyle w:val="style4114"/>
              <w:snapToGrid w:val="false"/>
              <w:rPr>
                <w:rFonts w:ascii="Arial" w:cs="Arial" w:hAnsi="Arial"/>
                <w:color w:val="333333"/>
              </w:rPr>
            </w:pPr>
          </w:p>
        </w:tc>
        <w:tc>
          <w:tcPr>
            <w:tcW w:w="6886" w:type="dxa"/>
            <w:tcBorders/>
            <w:shd w:val="clear" w:color="auto" w:fill="auto"/>
            <w:tcFitText w:val="false"/>
          </w:tcPr>
          <w:p>
            <w:pPr>
              <w:pStyle w:val="style157"/>
              <w:jc w:val="both"/>
              <w:rPr>
                <w:b/>
              </w:rPr>
            </w:pPr>
            <w:r>
              <w:rPr>
                <w:b/>
              </w:rPr>
              <w:t>OBJECTIVES</w:t>
            </w:r>
          </w:p>
          <w:p>
            <w:pPr>
              <w:pStyle w:val="style157"/>
              <w:jc w:val="both"/>
              <w:rPr/>
            </w:pP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</w:t>
            </w:r>
            <w:r>
              <w:rPr>
                <w:sz w:val="22"/>
                <w:szCs w:val="22"/>
              </w:rPr>
              <w:t>sionate about developing long term client relationship which promotes organizational values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cu</w:t>
            </w:r>
            <w:r>
              <w:rPr>
                <w:sz w:val="22"/>
                <w:szCs w:val="22"/>
              </w:rPr>
              <w:t>rrently looking for an organisation that can harness my wealth of potential</w:t>
            </w:r>
            <w:r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a competitive and stable </w:t>
            </w:r>
            <w:r>
              <w:rPr>
                <w:sz w:val="22"/>
                <w:szCs w:val="22"/>
              </w:rPr>
              <w:t>environment; a</w:t>
            </w:r>
            <w:r>
              <w:rPr>
                <w:sz w:val="22"/>
                <w:szCs w:val="22"/>
              </w:rPr>
              <w:t xml:space="preserve"> dynamic organization that prides itself in giving </w:t>
            </w:r>
            <w:r>
              <w:rPr>
                <w:sz w:val="22"/>
                <w:szCs w:val="22"/>
              </w:rPr>
              <w:t>substantial responsibility</w:t>
            </w:r>
            <w:r>
              <w:rPr>
                <w:sz w:val="22"/>
                <w:szCs w:val="22"/>
              </w:rPr>
              <w:t xml:space="preserve"> to talents.</w:t>
            </w: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ready to climb the career ladder through continuous </w:t>
            </w:r>
            <w:r>
              <w:rPr>
                <w:sz w:val="22"/>
                <w:szCs w:val="22"/>
              </w:rPr>
              <w:t>learning and commitment.</w:t>
            </w: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</w:p>
          <w:bookmarkStart w:id="0" w:name="_GoBack"/>
          <w:bookmarkEnd w:id="0"/>
          <w:p>
            <w:pPr>
              <w:pStyle w:val="style157"/>
              <w:jc w:val="both"/>
              <w:rPr>
                <w:sz w:val="22"/>
                <w:szCs w:val="22"/>
              </w:rPr>
            </w:pPr>
          </w:p>
          <w:p>
            <w:pPr>
              <w:pStyle w:val="style157"/>
              <w:jc w:val="both"/>
              <w:rPr>
                <w:b/>
              </w:rPr>
            </w:pPr>
            <w:r>
              <w:rPr>
                <w:b/>
                <w:color w:val="000000"/>
              </w:rPr>
              <w:t>WORK EXPERIENCE</w:t>
            </w:r>
          </w:p>
          <w:p>
            <w:pPr>
              <w:pStyle w:val="style157"/>
              <w:jc w:val="both"/>
              <w:rPr>
                <w:b/>
              </w:rPr>
            </w:pP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                                                         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                     March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- 202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0</w:t>
            </w:r>
          </w:p>
          <w:p>
            <w:pPr>
              <w:pStyle w:val="style157"/>
              <w:jc w:val="both"/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Enumerator, Port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-Harcourt Electricity Distribution Company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Eket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Akwa-Ibom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State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.</w:t>
            </w: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Responsibilities:</w:t>
            </w:r>
          </w:p>
          <w:p>
            <w:pPr>
              <w:pStyle w:val="style157"/>
              <w:numPr>
                <w:ilvl w:val="0"/>
                <w:numId w:val="1"/>
              </w:numPr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Responsible for collection of data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through direct contact with customers or consumers attached to a specific distribution transformer.</w:t>
            </w:r>
          </w:p>
          <w:p>
            <w:pPr>
              <w:pStyle w:val="style157"/>
              <w:numPr>
                <w:ilvl w:val="0"/>
                <w:numId w:val="1"/>
              </w:numPr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Responsible for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accurate data gathering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to assist in the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company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’s d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ecision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to improve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on its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services to ensure accurate billing, access to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electricity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, proper metering and provision of required amount of energy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.</w:t>
            </w: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May 2018-February 2019</w:t>
            </w: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Cashier,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Jubodlink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Nigeria Limited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Eket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Akwa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Ibom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State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.</w:t>
            </w: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Responsibilities:</w:t>
            </w:r>
          </w:p>
          <w:p>
            <w:pPr>
              <w:pStyle w:val="style157"/>
              <w:numPr>
                <w:ilvl w:val="0"/>
                <w:numId w:val="9"/>
              </w:numPr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Successfully prepared financial reports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and maintained an appropriate filing system which aided prompt auditing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and reference.</w:t>
            </w:r>
          </w:p>
          <w:p>
            <w:pPr>
              <w:pStyle w:val="style157"/>
              <w:numPr>
                <w:ilvl w:val="0"/>
                <w:numId w:val="9"/>
              </w:numPr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Successfully carried out account services for a period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which helped reconcile total sales made during that period.</w:t>
            </w:r>
          </w:p>
          <w:p>
            <w:pPr>
              <w:pStyle w:val="style157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Performed successful customer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service via phone conversation which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aided in the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receival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of an average of 10 orders daily.</w:t>
            </w:r>
          </w:p>
          <w:p>
            <w:pPr>
              <w:pStyle w:val="style157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Successfully verified product prices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were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in line with company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criteria, up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-to-date and accurate before printing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.</w:t>
            </w: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                                                        </w:t>
            </w:r>
          </w:p>
          <w:p>
            <w:pPr>
              <w:pStyle w:val="style157"/>
              <w:jc w:val="both"/>
              <w:rPr>
                <w:color w:val="000000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                                             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                      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 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November 2016-October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2017</w:t>
            </w:r>
          </w:p>
          <w:p>
            <w:pPr>
              <w:pStyle w:val="style157"/>
              <w:jc w:val="both"/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Personal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Assistant to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the Deputy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Director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(Information),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The State House of Assembly,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Bauchi State.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(National youth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service Corp).</w:t>
            </w: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Responsibilities:</w:t>
            </w:r>
          </w:p>
          <w:p>
            <w:pPr>
              <w:pStyle w:val="style157"/>
              <w:numPr>
                <w:ilvl w:val="0"/>
                <w:numId w:val="10"/>
              </w:numPr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Responsible for the writing and compilation of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reports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during Chamber seating which were sent to media houses for publication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through print or broadcast medium.</w:t>
            </w:r>
          </w:p>
          <w:p>
            <w:pPr>
              <w:pStyle w:val="style157"/>
              <w:numPr>
                <w:ilvl w:val="0"/>
                <w:numId w:val="10"/>
              </w:numPr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Successfully disseminated information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and mail to various departments in time.</w:t>
            </w: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</w:p>
          <w:p>
            <w:pPr>
              <w:pStyle w:val="style157"/>
              <w:jc w:val="both"/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Radio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Presenter, Globe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FM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(FRCN)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-98.5,Bauchi State (Weekly Community Development Service)</w:t>
            </w: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Responsibilities:</w:t>
            </w:r>
          </w:p>
          <w:p>
            <w:pPr>
              <w:pStyle w:val="style157"/>
              <w:numPr>
                <w:ilvl w:val="0"/>
                <w:numId w:val="11"/>
              </w:numPr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Successfully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treated issues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in sub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-urb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an areas of the state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which either informed or educated listeners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.</w:t>
            </w:r>
          </w:p>
          <w:p>
            <w:pPr>
              <w:pStyle w:val="style157"/>
              <w:numPr>
                <w:ilvl w:val="0"/>
                <w:numId w:val="11"/>
              </w:numPr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Worked with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orp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members to acquire information for the interesting and insightful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programme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“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Corpers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Forum”.</w:t>
            </w: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</w:p>
          <w:p>
            <w:pPr>
              <w:pStyle w:val="style157"/>
              <w:jc w:val="both"/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VOLUNTARY SERVICE</w:t>
            </w:r>
          </w:p>
          <w:p>
            <w:pPr>
              <w:pStyle w:val="style157"/>
              <w:jc w:val="both"/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Radio Co-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>Presenter, Heritage</w:t>
            </w:r>
            <w:r>
              <w:rPr>
                <w:rFonts w:eastAsia="AngsanaUPC"/>
                <w:b/>
                <w:color w:val="000000"/>
                <w:sz w:val="22"/>
                <w:szCs w:val="22"/>
                <w:lang w:val="en-US"/>
              </w:rPr>
              <w:t xml:space="preserve"> Radio-104.9fm,Eket,Akwa-Ibom State</w:t>
            </w: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Responsibilities:</w:t>
            </w:r>
          </w:p>
          <w:p>
            <w:pPr>
              <w:pStyle w:val="style157"/>
              <w:numPr>
                <w:ilvl w:val="0"/>
                <w:numId w:val="12"/>
              </w:numPr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Performed various informative and educative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programme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on air which attracted more listeners.</w:t>
            </w:r>
          </w:p>
          <w:p>
            <w:pPr>
              <w:pStyle w:val="style157"/>
              <w:numPr>
                <w:ilvl w:val="0"/>
                <w:numId w:val="12"/>
              </w:numPr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Wrote </w:t>
            </w: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>news and Articles on timely basis.</w:t>
            </w:r>
          </w:p>
          <w:p>
            <w:pPr>
              <w:pStyle w:val="style157"/>
              <w:jc w:val="both"/>
              <w:rPr>
                <w:rFonts w:eastAsia="AngsanaUPC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ngsanaUPC"/>
                <w:color w:val="000000"/>
                <w:sz w:val="22"/>
                <w:szCs w:val="22"/>
                <w:lang w:val="en-US"/>
              </w:rPr>
              <w:t xml:space="preserve"> </w:t>
            </w:r>
          </w:p>
          <w:p>
            <w:pPr>
              <w:pStyle w:val="style157"/>
              <w:jc w:val="both"/>
              <w:rPr>
                <w:b/>
                <w:color w:val="000000"/>
              </w:rPr>
            </w:pPr>
          </w:p>
          <w:p>
            <w:pPr>
              <w:pStyle w:val="style157"/>
              <w:jc w:val="both"/>
              <w:rPr>
                <w:b/>
              </w:rPr>
            </w:pPr>
            <w:r>
              <w:rPr>
                <w:b/>
                <w:color w:val="000000"/>
              </w:rPr>
              <w:t>EDUCATION</w:t>
            </w:r>
          </w:p>
          <w:p>
            <w:pPr>
              <w:pStyle w:val="style157"/>
              <w:jc w:val="both"/>
              <w:rPr>
                <w:b/>
              </w:rPr>
            </w:pP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2004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016</w:t>
            </w: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Higher National </w:t>
            </w:r>
            <w:r>
              <w:rPr>
                <w:sz w:val="22"/>
                <w:szCs w:val="22"/>
              </w:rPr>
              <w:t>Diploma, Mass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Communication, Heritage</w:t>
            </w:r>
            <w:r>
              <w:rPr>
                <w:sz w:val="22"/>
                <w:szCs w:val="22"/>
              </w:rPr>
              <w:t xml:space="preserve"> Polytechnic,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Ikot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Udota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Eket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Akwa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Ibom</w:t>
            </w:r>
            <w:r>
              <w:rPr>
                <w:sz w:val="22"/>
                <w:szCs w:val="22"/>
              </w:rPr>
              <w:t xml:space="preserve"> State</w:t>
            </w: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2011</w:t>
            </w: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West Africa </w:t>
            </w:r>
            <w:r>
              <w:rPr>
                <w:sz w:val="22"/>
                <w:szCs w:val="22"/>
              </w:rPr>
              <w:t xml:space="preserve">Senior </w:t>
            </w:r>
            <w:r>
              <w:rPr>
                <w:sz w:val="22"/>
                <w:szCs w:val="22"/>
              </w:rPr>
              <w:t>School</w:t>
            </w:r>
            <w:r>
              <w:rPr>
                <w:sz w:val="22"/>
                <w:szCs w:val="22"/>
              </w:rPr>
              <w:t xml:space="preserve"> Certificate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Eket</w:t>
            </w:r>
            <w:r>
              <w:rPr>
                <w:sz w:val="22"/>
                <w:szCs w:val="22"/>
              </w:rPr>
              <w:t xml:space="preserve"> Comprehensive College,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Efoi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Eket</w:t>
            </w: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</w:p>
          <w:p>
            <w:pPr>
              <w:pStyle w:val="style157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ADDITIONAL SKILLS </w:t>
            </w:r>
          </w:p>
          <w:p>
            <w:pPr>
              <w:pStyle w:val="style157"/>
              <w:jc w:val="both"/>
              <w:rPr/>
            </w:pP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Office</w:t>
            </w: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HSSE Level 1,2 and 3</w:t>
            </w: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</w:p>
          <w:p>
            <w:pPr>
              <w:pStyle w:val="style157"/>
              <w:jc w:val="both"/>
              <w:rPr>
                <w:sz w:val="22"/>
                <w:szCs w:val="22"/>
              </w:rPr>
            </w:pPr>
          </w:p>
          <w:p>
            <w:pPr>
              <w:pStyle w:val="style157"/>
              <w:jc w:val="both"/>
              <w:rPr>
                <w:b/>
              </w:rPr>
            </w:pPr>
            <w:r>
              <w:rPr>
                <w:b/>
              </w:rPr>
              <w:t>REFERENCES</w:t>
            </w:r>
          </w:p>
          <w:p>
            <w:pPr>
              <w:pStyle w:val="style157"/>
              <w:jc w:val="both"/>
              <w:rPr/>
            </w:pPr>
          </w:p>
          <w:p>
            <w:pPr>
              <w:pStyle w:val="style157"/>
              <w:jc w:val="both"/>
              <w:rPr>
                <w:b/>
              </w:rPr>
            </w:pPr>
            <w:r>
              <w:rPr>
                <w:b/>
              </w:rPr>
              <w:t>Mr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Mohammed </w:t>
            </w:r>
            <w:r>
              <w:rPr>
                <w:b/>
              </w:rPr>
              <w:t>Babaji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Katagum</w:t>
            </w:r>
          </w:p>
          <w:p>
            <w:pPr>
              <w:pStyle w:val="style157"/>
              <w:jc w:val="both"/>
              <w:rPr/>
            </w:pPr>
            <w:r>
              <w:t>Deputy Director(Information)</w:t>
            </w:r>
            <w:r>
              <w:t>,</w:t>
            </w:r>
          </w:p>
          <w:p>
            <w:pPr>
              <w:pStyle w:val="style157"/>
              <w:jc w:val="both"/>
              <w:rPr/>
            </w:pPr>
            <w:r>
              <w:t>The State House of Assembly,</w:t>
            </w:r>
            <w:r>
              <w:t xml:space="preserve"> </w:t>
            </w:r>
            <w:r>
              <w:t>Bauchi State.</w:t>
            </w:r>
          </w:p>
          <w:p>
            <w:pPr>
              <w:pStyle w:val="style157"/>
              <w:jc w:val="both"/>
              <w:rPr/>
            </w:pPr>
            <w:r>
              <w:t>+234806</w:t>
            </w:r>
            <w:r>
              <w:t>3163703</w:t>
            </w:r>
          </w:p>
          <w:p>
            <w:pPr>
              <w:pStyle w:val="style157"/>
              <w:jc w:val="both"/>
              <w:rPr/>
            </w:pPr>
          </w:p>
          <w:p>
            <w:pPr>
              <w:pStyle w:val="style157"/>
              <w:jc w:val="both"/>
              <w:rPr>
                <w:b/>
              </w:rPr>
            </w:pPr>
            <w:r>
              <w:rPr>
                <w:b/>
              </w:rPr>
              <w:t>Engr.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Olawale</w:t>
            </w:r>
            <w:r>
              <w:rPr>
                <w:b/>
              </w:rPr>
              <w:t xml:space="preserve"> John</w:t>
            </w:r>
          </w:p>
          <w:p>
            <w:pPr>
              <w:pStyle w:val="style157"/>
              <w:jc w:val="both"/>
              <w:rPr/>
            </w:pPr>
            <w:r>
              <w:t>Proprietor,</w:t>
            </w:r>
          </w:p>
          <w:p>
            <w:pPr>
              <w:pStyle w:val="style157"/>
              <w:jc w:val="both"/>
              <w:rPr/>
            </w:pPr>
            <w:r>
              <w:t>Henolat</w:t>
            </w:r>
            <w:r>
              <w:t xml:space="preserve"> International School,</w:t>
            </w:r>
            <w:r>
              <w:t xml:space="preserve"> </w:t>
            </w:r>
            <w:r>
              <w:t>Ikot</w:t>
            </w:r>
            <w:r>
              <w:t xml:space="preserve"> </w:t>
            </w:r>
            <w:r>
              <w:t>Udoma</w:t>
            </w:r>
            <w:r>
              <w:t>,</w:t>
            </w:r>
            <w:r>
              <w:t xml:space="preserve"> </w:t>
            </w:r>
            <w:r>
              <w:t>Eket</w:t>
            </w:r>
            <w:r>
              <w:t>.</w:t>
            </w:r>
          </w:p>
          <w:p>
            <w:pPr>
              <w:pStyle w:val="style157"/>
              <w:jc w:val="both"/>
              <w:rPr/>
            </w:pPr>
            <w:r>
              <w:t>+2348</w:t>
            </w:r>
            <w:r>
              <w:t>023547623</w:t>
            </w:r>
          </w:p>
        </w:tc>
      </w:tr>
    </w:tbl>
    <w:p>
      <w:pPr>
        <w:pStyle w:val="style0"/>
        <w:rPr/>
      </w:pP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1906" w:h="16838" w:orient="portrait"/>
      <w:pgMar w:top="625" w:right="565" w:bottom="565" w:left="565" w:header="720" w:footer="720" w:gutter="0"/>
      <w:pgBorders w:zOrder="front" w:display="allPages" w:offsetFrom="text">
        <w:top w:val="single" w:sz="1" w:space="31" w:color="c0c0c0"/>
        <w:left w:val="single" w:sz="1" w:space="28" w:color="c0c0c0"/>
        <w:bottom w:val="single" w:sz="1" w:space="28" w:color="c0c0c0"/>
        <w:right w:val="single" w:sz="1" w:space="28" w:color="c0c0c0"/>
      </w:pgBorders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ngsanaUPC"/>
    <w:panose1 w:val="02020603050004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OpenSymbol" w:hAnsi="Symbol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cs="OpenSymbol" w:hAnsi="OpenSymbol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cs="OpenSymbol" w:hAnsi="OpenSymbol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OpenSymbol" w:hAnsi="Symbol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cs="OpenSymbol" w:hAnsi="OpenSymbol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cs="OpenSymbol" w:hAnsi="OpenSymbol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OpenSymbol" w:hAnsi="Symbol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cs="OpenSymbol" w:hAnsi="OpenSymbol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cs="OpenSymbol" w:hAnsi="OpenSymbol"/>
      </w:rPr>
    </w:lvl>
  </w:abstractNum>
  <w:abstractNum w:abstractNumId="1">
    <w:nsid w:val="00000001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OpenSymbol" w:hAnsi="Symbol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cs="OpenSymbol" w:hAnsi="OpenSymbol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cs="OpenSymbol" w:hAnsi="OpenSymbol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OpenSymbol" w:hAnsi="Symbol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cs="OpenSymbol" w:hAnsi="OpenSymbol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cs="OpenSymbol" w:hAnsi="OpenSymbol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OpenSymbol" w:hAnsi="Symbol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cs="OpenSymbol" w:hAnsi="OpenSymbol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cs="OpenSymbol" w:hAnsi="OpenSymbol"/>
      </w:rPr>
    </w:lvl>
  </w:abstractNum>
  <w:abstractNum w:abstractNumId="2">
    <w:nsid w:val="00000002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</w:lvl>
  </w:abstractNum>
  <w:abstractNum w:abstractNumId="3">
    <w:nsid w:val="00000003"/>
    <w:multiLevelType w:val="hybridMultilevel"/>
    <w:tmpl w:val="48DE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7B0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FC0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B76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C78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C4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9B0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A1E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DA0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proofState w:spelling="clean" w:grammar="clean"/>
  <w:stylePaneSortMethod w:val="0001"/>
  <w:documentProtection w:enforcement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suppressAutoHyphens/>
    </w:pPr>
    <w:rPr>
      <w:rFonts w:eastAsia="Andale Sans UI"/>
      <w:kern w:val="1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WW8Num1z0"/>
    <w:next w:val="style4097"/>
    <w:rPr>
      <w:rFonts w:ascii="Symbol" w:cs="OpenSymbol" w:hAnsi="Symbol"/>
    </w:rPr>
  </w:style>
  <w:style w:type="character" w:customStyle="1" w:styleId="style4098">
    <w:name w:val="WW8Num1z1"/>
    <w:next w:val="style4098"/>
    <w:rPr>
      <w:rFonts w:ascii="OpenSymbol" w:cs="OpenSymbol" w:hAnsi="OpenSymbol"/>
    </w:rPr>
  </w:style>
  <w:style w:type="character" w:customStyle="1" w:styleId="style4099">
    <w:name w:val="WW8Num2z0"/>
    <w:next w:val="style4099"/>
    <w:rPr>
      <w:rFonts w:ascii="Symbol" w:cs="OpenSymbol" w:hAnsi="Symbol"/>
    </w:rPr>
  </w:style>
  <w:style w:type="character" w:customStyle="1" w:styleId="style4100">
    <w:name w:val="WW8Num2z1"/>
    <w:next w:val="style4100"/>
    <w:rPr>
      <w:rFonts w:ascii="OpenSymbol" w:cs="OpenSymbol" w:hAnsi="OpenSymbol"/>
    </w:rPr>
  </w:style>
  <w:style w:type="character" w:customStyle="1" w:styleId="style4101">
    <w:name w:val="WW8Num3z0"/>
    <w:next w:val="style4101"/>
  </w:style>
  <w:style w:type="character" w:customStyle="1" w:styleId="style4102">
    <w:name w:val="WW8Num3z1"/>
    <w:next w:val="style4102"/>
  </w:style>
  <w:style w:type="character" w:customStyle="1" w:styleId="style4103">
    <w:name w:val="WW8Num3z2"/>
    <w:next w:val="style4103"/>
  </w:style>
  <w:style w:type="character" w:customStyle="1" w:styleId="style4104">
    <w:name w:val="WW8Num3z3"/>
    <w:next w:val="style4104"/>
  </w:style>
  <w:style w:type="character" w:customStyle="1" w:styleId="style4105">
    <w:name w:val="WW8Num3z4"/>
    <w:next w:val="style4105"/>
  </w:style>
  <w:style w:type="character" w:customStyle="1" w:styleId="style4106">
    <w:name w:val="WW8Num3z5"/>
    <w:next w:val="style4106"/>
  </w:style>
  <w:style w:type="character" w:customStyle="1" w:styleId="style4107">
    <w:name w:val="WW8Num3z6"/>
    <w:next w:val="style4107"/>
  </w:style>
  <w:style w:type="character" w:customStyle="1" w:styleId="style4108">
    <w:name w:val="WW8Num3z7"/>
    <w:next w:val="style4108"/>
  </w:style>
  <w:style w:type="character" w:customStyle="1" w:styleId="style4109">
    <w:name w:val="WW8Num3z8"/>
    <w:next w:val="style4109"/>
  </w:style>
  <w:style w:type="character" w:customStyle="1" w:styleId="style4110">
    <w:name w:val="Symbole wypunktowania"/>
    <w:next w:val="style4110"/>
    <w:rPr>
      <w:rFonts w:ascii="OpenSymbol" w:cs="OpenSymbol" w:eastAsia="OpenSymbol" w:hAnsi="OpenSymbol"/>
    </w:rPr>
  </w:style>
  <w:style w:type="character" w:styleId="style85">
    <w:name w:val="Hyperlink"/>
    <w:next w:val="style85"/>
    <w:rPr>
      <w:color w:val="000080"/>
      <w:u w:val="single"/>
    </w:rPr>
  </w:style>
  <w:style w:type="paragraph" w:customStyle="1" w:styleId="style4111">
    <w:name w:val="Nagłówek"/>
    <w:basedOn w:val="style0"/>
    <w:next w:val="style66"/>
    <w:pPr>
      <w:keepNext/>
      <w:spacing w:before="240" w:after="120"/>
    </w:pPr>
    <w:rPr>
      <w:rFonts w:ascii="Arial" w:cs="Tahoma" w:hAnsi="Arial"/>
      <w:sz w:val="28"/>
      <w:szCs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47">
    <w:name w:val="List"/>
    <w:basedOn w:val="style66"/>
    <w:next w:val="style47"/>
    <w:pPr/>
    <w:rPr>
      <w:rFonts w:cs="Tahoma"/>
    </w:rPr>
  </w:style>
  <w:style w:type="paragraph" w:customStyle="1" w:styleId="style4112">
    <w:name w:val="Podpis"/>
    <w:basedOn w:val="style0"/>
    <w:next w:val="style4112"/>
    <w:pPr>
      <w:suppressLineNumbers/>
      <w:spacing w:before="120" w:after="120"/>
    </w:pPr>
    <w:rPr>
      <w:rFonts w:cs="Tahoma"/>
      <w:i/>
      <w:iCs/>
    </w:rPr>
  </w:style>
  <w:style w:type="paragraph" w:customStyle="1" w:styleId="style4113">
    <w:name w:val="Indeks"/>
    <w:basedOn w:val="style0"/>
    <w:next w:val="style4113"/>
    <w:pPr>
      <w:suppressLineNumbers/>
    </w:pPr>
    <w:rPr>
      <w:rFonts w:cs="Tahoma"/>
    </w:rPr>
  </w:style>
  <w:style w:type="paragraph" w:styleId="style32">
    <w:name w:val="footer"/>
    <w:basedOn w:val="style0"/>
    <w:next w:val="style32"/>
    <w:pPr>
      <w:suppressLineNumbers/>
      <w:tabs>
        <w:tab w:val="center" w:leader="none" w:pos="5953"/>
        <w:tab w:val="right" w:leader="none" w:pos="11906"/>
      </w:tabs>
    </w:pPr>
    <w:rPr/>
  </w:style>
  <w:style w:type="paragraph" w:customStyle="1" w:styleId="style4114">
    <w:name w:val="Zawartość tabeli"/>
    <w:basedOn w:val="style0"/>
    <w:next w:val="style4114"/>
    <w:pPr>
      <w:suppressLineNumbers/>
    </w:pPr>
    <w:rPr/>
  </w:style>
  <w:style w:type="paragraph" w:customStyle="1" w:styleId="style4115">
    <w:name w:val="Linia pozioma"/>
    <w:basedOn w:val="style0"/>
    <w:next w:val="style66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style4116">
    <w:name w:val="Nagłówek tabeli"/>
    <w:basedOn w:val="style4114"/>
    <w:next w:val="style4116"/>
    <w:pPr>
      <w:jc w:val="center"/>
    </w:pPr>
    <w:rPr>
      <w:b/>
      <w:bCs/>
    </w:rPr>
  </w:style>
  <w:style w:type="paragraph" w:styleId="style31">
    <w:name w:val="header"/>
    <w:basedOn w:val="style0"/>
    <w:next w:val="style31"/>
    <w:pPr>
      <w:suppressLineNumbers/>
      <w:tabs>
        <w:tab w:val="center" w:leader="none" w:pos="4819"/>
        <w:tab w:val="right" w:leader="none" w:pos="9638"/>
      </w:tabs>
    </w:pPr>
    <w:rPr/>
  </w:style>
  <w:style w:type="character" w:customStyle="1" w:styleId="style4117">
    <w:name w:val="Unresolved Mention"/>
    <w:basedOn w:val="style65"/>
    <w:next w:val="style4117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widowControl w:val="false"/>
      <w:suppressAutoHyphens/>
    </w:pPr>
    <w:rPr>
      <w:rFonts w:eastAsia="Andale Sans UI"/>
      <w:kern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435</Words>
  <Characters>2913</Characters>
  <Application>WPS Office</Application>
  <DocSecurity>0</DocSecurity>
  <Paragraphs>119</Paragraphs>
  <ScaleCrop>false</ScaleCrop>
  <LinksUpToDate>false</LinksUpToDate>
  <CharactersWithSpaces>3789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2021-07-19T10:26:12Z</dcterms:created>
  <dc:creator>J and G</dc:creator>
  <lastModifiedBy>Infinix X625C</lastModifiedBy>
  <lastPrinted>2019-08-23T23:13:00Z</lastPrinted>
  <dcterms:modified xsi:type="dcterms:W3CDTF">2021-07-19T10:26:13Z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